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7FEFB8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736C4E2B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4</w:t>
      </w:r>
      <w:r>
        <w:rPr>
          <w:rFonts w:ascii="仿宋" w:hAnsi="仿宋" w:eastAsia="仿宋"/>
          <w:b/>
          <w:sz w:val="32"/>
          <w:szCs w:val="32"/>
        </w:rPr>
        <w:t xml:space="preserve">  </w:t>
      </w:r>
      <w:r>
        <w:rPr>
          <w:rFonts w:hint="eastAsia" w:ascii="仿宋" w:hAnsi="仿宋" w:eastAsia="仿宋"/>
          <w:b/>
          <w:sz w:val="32"/>
          <w:szCs w:val="32"/>
        </w:rPr>
        <w:t>-</w:t>
      </w:r>
      <w:r>
        <w:rPr>
          <w:rFonts w:ascii="仿宋" w:hAnsi="仿宋" w:eastAsia="仿宋"/>
          <w:b/>
          <w:sz w:val="32"/>
          <w:szCs w:val="32"/>
        </w:rPr>
        <w:t xml:space="preserve">  </w:t>
      </w:r>
      <w:r>
        <w:rPr>
          <w:rFonts w:hint="eastAsia" w:ascii="仿宋" w:hAnsi="仿宋" w:eastAsia="仿宋"/>
          <w:b/>
          <w:sz w:val="32"/>
          <w:szCs w:val="32"/>
        </w:rPr>
        <w:t>202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5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年度第二学期教学计划</w:t>
      </w:r>
    </w:p>
    <w:p w14:paraId="7861FE05"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311785</wp:posOffset>
                </wp:positionV>
                <wp:extent cx="52578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top:24.55pt;height:0pt;width:414pt;mso-position-horizontal:right;mso-position-horizontal-relative:margin;z-index:251659264;mso-width-relative:page;mso-height-relative:page;" filled="f" stroked="t" coordsize="21600,21600" o:gfxdata="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LdUGrvTAAAABgEAAA8A&#10;AAAAAAAAAQAgAAAAIgAAAGRycy9kb3ducmV2LnhtbFBLAQIUABQAAAAIAIdO4kDMsuMs4wEAALED&#10;AAAOAAAAAAAAAAEAIAAAACIBAABkcnMvZTJvRG9jLnhtbFBLBQYAAAAABgAGAFkBAAB3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 xml:space="preserve">班级：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高二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 科目： 数学</w:t>
      </w:r>
      <w:r>
        <w:rPr>
          <w:rFonts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 xml:space="preserve"> 教师：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王婷</w:t>
      </w:r>
      <w:r>
        <w:rPr>
          <w:rFonts w:hint="eastAsia" w:ascii="仿宋" w:hAnsi="仿宋" w:eastAsia="仿宋"/>
          <w:sz w:val="32"/>
          <w:szCs w:val="32"/>
        </w:rPr>
        <w:t xml:space="preserve">       </w:t>
      </w:r>
    </w:p>
    <w:p w14:paraId="09649E38">
      <w:pPr>
        <w:pStyle w:val="10"/>
        <w:spacing w:line="520" w:lineRule="exact"/>
        <w:ind w:firstLine="64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一、学情分析</w:t>
      </w:r>
    </w:p>
    <w:p w14:paraId="3970A3E7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听障部高二</w:t>
      </w:r>
      <w:bookmarkStart w:id="1" w:name="_GoBack"/>
      <w:bookmarkEnd w:id="1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级的学生由于听力障碍，在数学学习上存在一定的困难。他们在获取数学信息、理解抽象概念、语言表达以及逻辑思维的发展上都受到了不同程度的限制。但经过之前的学习，学生们已经掌握了一些基本的数学知识和技能，具备了初步的数学思维能力。在教学过程中，需要充分考虑学生的听力状况和学习特点，采用多样化的教学方法和手段，帮助他们克服困难，提高数学学习能力。</w:t>
      </w:r>
    </w:p>
    <w:p w14:paraId="2DE6575D">
      <w:pPr>
        <w:pStyle w:val="10"/>
        <w:spacing w:line="520" w:lineRule="exact"/>
        <w:ind w:firstLine="64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二、教学目标</w:t>
      </w:r>
    </w:p>
    <w:p w14:paraId="2F15A060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知识与技能目标：学生能够理解集合、常用逻辑用语、一元二次函数、方程和不等式、函数的概念与性质、指数函数与对数函数、三角函数等基础知识，掌握相关的运算方法和解题技巧，能够运用所学知识解决简单的数学问题和实际问题。</w:t>
      </w:r>
    </w:p>
    <w:p w14:paraId="5805F50D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过程与方法目标：通过观察、分析、归纳、类比等方法，培养学生的数学思维能力和逻辑推理能力；通过小组合作学习，提高学生的沟通能力和团队协作能力；通过数学实践活动，增强学生的应用意识和创新能力。</w:t>
      </w:r>
    </w:p>
    <w:p w14:paraId="6C5CD1E4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情感态度与价值观目标：激发学生对数学的学习兴趣，培养学生积极主动的学习态度和勇于探索的精神；让学生在数学学习中体验成功的喜悦，增强自信心，培养学生的毅力和克服困难的能力。</w:t>
      </w:r>
    </w:p>
    <w:p w14:paraId="41A92D39">
      <w:pPr>
        <w:pStyle w:val="10"/>
        <w:spacing w:line="520" w:lineRule="exact"/>
        <w:ind w:firstLine="64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三、教学重难点</w:t>
      </w:r>
    </w:p>
    <w:p w14:paraId="514C1AD0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教学重点：集合的概念与运算、常用逻辑用语、一元二次函数的图象与性质、一元二次方程与不等式的解法、函数的概念与性质、指数函数与对数函数的图象与性质、三角函数的概念、图象与性质。</w:t>
      </w:r>
    </w:p>
    <w:p w14:paraId="10110D7C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教学难点：集合的运算、逻辑用语的理解与应用、函数性质的综合运用、指数函数与对数函数的关系、三角函数的诱导公式和恒等变换。</w:t>
      </w:r>
    </w:p>
    <w:p w14:paraId="1F97F9BD">
      <w:pPr>
        <w:pStyle w:val="10"/>
        <w:spacing w:line="520" w:lineRule="exact"/>
        <w:ind w:firstLine="64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四、教学方法</w:t>
      </w:r>
    </w:p>
    <w:p w14:paraId="3B60F34F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直观演示法：利用实物、模型、多媒体等直观教具，将抽象的数学知识直观地展示给学生，帮助学生理解和掌握。例如，在讲解函数图象时，可以通过多媒体动画展示函数图象的变化过程。</w:t>
      </w:r>
    </w:p>
    <w:p w14:paraId="4603D1D3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手语辅助教学法：结合手语，将数学概念、定理、公式等准确地传达给学生，确保学生能够理解教学内容。同时，鼓励学生用手语表达自己的想法和问题。</w:t>
      </w:r>
    </w:p>
    <w:p w14:paraId="4B9488A8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小组合作学习法：将学生分成小组，共同完成学习任务。通过小组讨论、合作探究等方式，培养学生的合作意识和沟通能力，让学生在相互学习中共同进步。</w:t>
      </w:r>
    </w:p>
    <w:p w14:paraId="16171840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分层教学法：根据学生的学习能力和数学基础，将学生分为不同层次，制定不同的教学目标和教学内容，采用不同的教学方法和评价方式，满足不同层次学生的学习需求。</w:t>
      </w:r>
    </w:p>
    <w:p w14:paraId="6CCFF6F3">
      <w:pPr>
        <w:pStyle w:val="10"/>
        <w:spacing w:line="520" w:lineRule="exact"/>
        <w:ind w:firstLine="64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五、教学内容与安排</w:t>
      </w:r>
    </w:p>
    <w:p w14:paraId="1419864E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（一）集合与常用逻辑用语（12 课时）</w:t>
      </w:r>
    </w:p>
    <w:p w14:paraId="4980BF64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集合的概念（2 课时）：通过实例，让学生理解集合的含义，掌握集合的表示方法（列举法、描述法），理解集合中元素的确定性、互异性和无序性。</w:t>
      </w:r>
    </w:p>
    <w:p w14:paraId="652D4AB7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集合间的基本关系（2 课时）：引导学生通过观察、比较，理解集合间的包含关系（子集、真子集）和相等关系，掌握子集、真子集的符号表示和性质。</w:t>
      </w:r>
    </w:p>
    <w:p w14:paraId="4A0BC21C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集合的基本运算（4 课时）：讲解交集、并集、补集的概念和运算性质，通过具体例子让学生掌握集合的交、并、补运算，能够运用韦恩图表示集合的关系和运算。</w:t>
      </w:r>
    </w:p>
    <w:p w14:paraId="749E7BE8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充分条件与必要条件（2 课时）：结合具体命题，让学生理解充分条件、必要条件和充要条件的含义，能够判断命题中条件的充分性和必要性。</w:t>
      </w:r>
    </w:p>
    <w:p w14:paraId="16CC4168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全称量词与存在量词（2 课时）：介绍全称量词和存在量词的概念，让学生理解全称量词命题和存在量词命题的含义，掌握全称量词命题和存在量词命题的否定形式。</w:t>
      </w:r>
    </w:p>
    <w:p w14:paraId="76AA00E8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（二）一元二次函数，方程和不等式（16 课时）</w:t>
      </w:r>
    </w:p>
    <w:p w14:paraId="635D2DBE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一元二次函数的图象与性质（4 课时）：通过二次函数的一般式，引导学生用配方法将其化为顶点式，从而得出二次函数的图象（抛物线）的开口方向、对称轴、顶点坐标等性质，能够根据函数性质画出函数图象。</w:t>
      </w:r>
    </w:p>
    <w:p w14:paraId="28A96C3A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一元二次方程（4 课时）：复习一元二次方程的解法（因式分解法、配方法、公式法），通过根与系数的关系（韦达定理），让学生掌握一元二次方程两根之间的关系，能够运用韦达定理解决相关问题。</w:t>
      </w:r>
    </w:p>
    <w:p w14:paraId="03590976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一元二次不等式（6 课时）：结合一元二次函数的图象，讲解一元二次不等式的解法，让学生理解一元二次函数、一元二次方程与一元二次不等式之间的内在联系，能够根据函数图象求解一元二次不等式。</w:t>
      </w:r>
    </w:p>
    <w:p w14:paraId="4C34196F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不等式的性质（2 课时）：介绍不等式的基本性质，如对称性、传递性、加法法则、乘法法则等，通过实例让学生掌握不等式性质的应用，能够运用不等式性质进行简单的不等式变形和证明。</w:t>
      </w:r>
    </w:p>
    <w:p w14:paraId="183E05A6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（三）函数的概念与性质（14 课时）</w:t>
      </w:r>
    </w:p>
    <w:p w14:paraId="2BB5880B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函数的概念（4 课时）：通过具体实例，让学生理解函数的概念，包括定义域、值域和对应关系，掌握函数的表示方法（解析法、列表法、图象法），能够根据函数的定义判断两个函数是否相等。</w:t>
      </w:r>
    </w:p>
    <w:p w14:paraId="6018629A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函数的单调性（4 课时）：通过观察函数图象，让学生理解函数单调性的概念，掌握函数单调性的定义和判断方法（定义法、图象法），能够运用函数单调性解决函数的最值问题和比较大小问题。</w:t>
      </w:r>
    </w:p>
    <w:p w14:paraId="20B96EA8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函数的奇偶性（4 课时）：结合函数图象，讲解函数奇偶性的概念，让学生掌握函数奇偶性的定义和判断方法，理解奇函数和偶函数的图象特征，能够运用函数奇偶性解决函数的图象对称问题和函数值的计算问题。</w:t>
      </w:r>
    </w:p>
    <w:p w14:paraId="7C93E5F4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函数的应用（2 课时）：通过实际问题，让学生体会函数在实际生活中的应用，培养学生运用函数知识解决实际问题的能力，提高学生的数学建模能力。</w:t>
      </w:r>
    </w:p>
    <w:p w14:paraId="622E8136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（四）指数函数与对数函数（16 课时）</w:t>
      </w:r>
    </w:p>
    <w:p w14:paraId="6B8B7F59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指数函数（6 课时）：介绍指数幂的概念和运算法则，包括整数指数幂、分数指数幂和无理数指数幂，通过具体例子让学生理解指数函数的定义和图象特征，掌握指数函数的性质（单调性、值域等），能够运用指数函数的性质解决相关问题。</w:t>
      </w:r>
    </w:p>
    <w:p w14:paraId="283B41FB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对数函数（6 课时）：讲解对数的概念和运算法则，包括常用对数和自然对数，通过指数函数与对数函数的关系，让学生理解对数函数的定义和图象特征，掌握对数函数的性质（单调性、值域等），能够运用对数函数的性质解决相关问题。</w:t>
      </w:r>
    </w:p>
    <w:p w14:paraId="0E0E91C0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幂函数（2 课时）：介绍幂函数的概念和常见幂函数的图象与性质，通过实例让学生了解幂函数的特点和变化规律，能够根据幂函数的性质判断函数的单调性和奇偶性。</w:t>
      </w:r>
    </w:p>
    <w:p w14:paraId="0916EA43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函数的综合应用（2 课时）：通过一些综合性的问题，让学生综合运用指数函数、对数函数和幂函数的知识解决问题，提高学生的综合运用能力和解题能力。</w:t>
      </w:r>
    </w:p>
    <w:p w14:paraId="47447736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（五）三角函数（22 课时）</w:t>
      </w:r>
    </w:p>
    <w:p w14:paraId="6F611B49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任意角和弧度制（4 课时）：介绍任意角的概念，包括正角、负角和零角，讲解弧度制的概念和弧度与角度的换算，让学生理解弧度制的优点，能够熟练进行弧度与角度的换算。</w:t>
      </w:r>
    </w:p>
    <w:p w14:paraId="3C610C5D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任意角的三角函数（6 课时）：通过单位圆，定义任意角的正弦、余弦和正切函数，让学生理解三角函数的定义域、值域和函数值在各象限的符号，掌握三角函数线的概念和应用，能够运用三角函数线比较三角函数值的大小。</w:t>
      </w:r>
    </w:p>
    <w:p w14:paraId="5CD5D8F9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同角三角函数的基本关系（4 课时）：讲解同角三角函数的基本关系，包括平方关系和商数关系，通过实例让学生掌握同角三角函数基本关系的应用，能够运用基本关系进行三角函数的化简、求值和证明。</w:t>
      </w:r>
    </w:p>
    <w:p w14:paraId="424E73AF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诱导公式（4 课时）：介绍三角函数的诱导公式，包括终边相同的角的三角函数关系、关于坐标轴和原点对称的角的三角函数关系，让学生理解诱导公式的推导过程，掌握诱导公式的应用，能够运用诱导公式进行三角函数的化简和求值。</w:t>
      </w:r>
    </w:p>
    <w:p w14:paraId="1C0FE4B7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三角函数的图象与性质（4 课时）：通过五点法作图，画出正弦函数、余弦函数和正切函数的图象，让学生观察图象，总结三角函数的性质，包括周期性、单调性、奇偶性和最值等，能够运用三角函数的性质解决相关问题。</w:t>
      </w:r>
    </w:p>
    <w:p w14:paraId="41EDDBF4">
      <w:pPr>
        <w:pStyle w:val="10"/>
        <w:spacing w:line="520" w:lineRule="exact"/>
        <w:ind w:firstLine="64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六、教学评价</w:t>
      </w:r>
    </w:p>
    <w:p w14:paraId="6E2D793A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形成性评价：在教学过程中，通过课堂提问、作业批改、小组讨论、课堂测验等方式，及时了解学生的学习情况，发现学生在学习中存在的问题，及时给予反馈和指导，帮助学生调整学习策略，改进学习方法。</w:t>
      </w:r>
    </w:p>
    <w:p w14:paraId="1252EC4E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终结性评价：每章教学结束后，进行单元测试，检查学生对本章知识的掌握情况；学期末进行期末考试，全面评价学生本学期的学习成果。根据考试成绩，分析学生的学习情况，总结教学经验，为下一学期的教学提供参考。</w:t>
      </w:r>
    </w:p>
    <w:p w14:paraId="45EE0051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多元化评价：除了考试成绩外，还应关注学生的学习过程，包括学习态度、学习方法、合作能力、创新能力等方面，对学生进行多元化评价，全面、客观地评价学生的数学学习情况。</w:t>
      </w:r>
    </w:p>
    <w:p w14:paraId="448C3F6B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2BC0BD93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560FA76F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606D07E0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34119E1F">
      <w:pPr>
        <w:pStyle w:val="10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0EF2149B">
      <w:pPr>
        <w:spacing w:line="520" w:lineRule="exact"/>
        <w:ind w:firstLine="2891" w:firstLineChars="900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73177B39">
      <w:pPr>
        <w:spacing w:line="520" w:lineRule="exact"/>
        <w:ind w:firstLine="3213" w:firstLineChars="10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教学进度表</w:t>
      </w:r>
    </w:p>
    <w:tbl>
      <w:tblPr>
        <w:tblStyle w:val="8"/>
        <w:tblpPr w:leftFromText="180" w:rightFromText="180" w:vertAnchor="text" w:horzAnchor="page" w:tblpX="1683" w:tblpY="733"/>
        <w:tblOverlap w:val="never"/>
        <w:tblW w:w="72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4646"/>
        <w:gridCol w:w="1439"/>
      </w:tblGrid>
      <w:tr w14:paraId="7D4C5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198" w:type="dxa"/>
          </w:tcPr>
          <w:p w14:paraId="7E9BDD03">
            <w:pPr>
              <w:widowControl/>
              <w:rPr>
                <w:rFonts w:ascii="仿宋" w:hAnsi="仿宋" w:eastAsia="仿宋" w:cs="宋体"/>
                <w:sz w:val="24"/>
                <w:szCs w:val="24"/>
              </w:rPr>
            </w:pPr>
            <w:bookmarkStart w:id="0" w:name="_Hlk508185129"/>
            <w:r>
              <w:rPr>
                <w:rFonts w:hint="eastAsia" w:ascii="仿宋" w:hAnsi="仿宋" w:eastAsia="仿宋" w:cs="宋体"/>
                <w:sz w:val="24"/>
                <w:szCs w:val="24"/>
              </w:rPr>
              <w:t>周次</w:t>
            </w:r>
          </w:p>
        </w:tc>
        <w:tc>
          <w:tcPr>
            <w:tcW w:w="4646" w:type="dxa"/>
          </w:tcPr>
          <w:p w14:paraId="58992D6C">
            <w:pPr>
              <w:rPr>
                <w:rFonts w:ascii="仿宋" w:hAnsi="仿宋" w:eastAsia="仿宋" w:cs="宋体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</w:rPr>
              <w:t>教材章节内容</w:t>
            </w:r>
          </w:p>
        </w:tc>
        <w:tc>
          <w:tcPr>
            <w:tcW w:w="1439" w:type="dxa"/>
          </w:tcPr>
          <w:p w14:paraId="490EDDB7">
            <w:pPr>
              <w:rPr>
                <w:rFonts w:ascii="仿宋" w:hAnsi="仿宋" w:eastAsia="仿宋" w:cs="宋体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</w:rPr>
              <w:t>课时</w:t>
            </w:r>
          </w:p>
        </w:tc>
      </w:tr>
      <w:tr w14:paraId="316E0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198" w:type="dxa"/>
            <w:vAlign w:val="center"/>
          </w:tcPr>
          <w:p w14:paraId="2A070D17">
            <w:pPr>
              <w:widowControl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1</w:t>
            </w:r>
          </w:p>
        </w:tc>
        <w:tc>
          <w:tcPr>
            <w:tcW w:w="4646" w:type="dxa"/>
          </w:tcPr>
          <w:p w14:paraId="3E31FD97">
            <w:pPr>
              <w:rPr>
                <w:rFonts w:hint="default" w:ascii="仿宋" w:hAnsi="仿宋" w:eastAsia="仿宋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等式性质与不等式性质</w:t>
            </w:r>
          </w:p>
        </w:tc>
        <w:tc>
          <w:tcPr>
            <w:tcW w:w="1439" w:type="dxa"/>
          </w:tcPr>
          <w:p w14:paraId="0133A928">
            <w:pPr>
              <w:rPr>
                <w:rFonts w:hint="default" w:ascii="仿宋" w:hAnsi="仿宋" w:eastAsia="仿宋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5</w:t>
            </w:r>
          </w:p>
        </w:tc>
      </w:tr>
      <w:tr w14:paraId="62D67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198" w:type="dxa"/>
            <w:vAlign w:val="center"/>
          </w:tcPr>
          <w:p w14:paraId="3DB91ECD">
            <w:pPr>
              <w:widowControl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2</w:t>
            </w:r>
          </w:p>
        </w:tc>
        <w:tc>
          <w:tcPr>
            <w:tcW w:w="4646" w:type="dxa"/>
          </w:tcPr>
          <w:p w14:paraId="130B800C">
            <w:pPr>
              <w:rPr>
                <w:rFonts w:hint="default" w:ascii="仿宋" w:hAnsi="仿宋" w:eastAsia="仿宋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基本不等式</w:t>
            </w:r>
          </w:p>
        </w:tc>
        <w:tc>
          <w:tcPr>
            <w:tcW w:w="1439" w:type="dxa"/>
          </w:tcPr>
          <w:p w14:paraId="0FDC6796">
            <w:pPr>
              <w:rPr>
                <w:rFonts w:ascii="仿宋" w:hAnsi="仿宋" w:eastAsia="仿宋" w:cs="宋体"/>
                <w:b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sz w:val="28"/>
                <w:szCs w:val="28"/>
              </w:rPr>
              <w:t>5</w:t>
            </w:r>
          </w:p>
        </w:tc>
      </w:tr>
      <w:tr w14:paraId="4CD81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198" w:type="dxa"/>
            <w:vAlign w:val="center"/>
          </w:tcPr>
          <w:p w14:paraId="49ECA40D">
            <w:pPr>
              <w:widowControl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3</w:t>
            </w:r>
          </w:p>
        </w:tc>
        <w:tc>
          <w:tcPr>
            <w:tcW w:w="4646" w:type="dxa"/>
          </w:tcPr>
          <w:p w14:paraId="2387900E">
            <w:pPr>
              <w:rPr>
                <w:rFonts w:hint="default" w:ascii="仿宋" w:hAnsi="仿宋" w:eastAsia="仿宋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二次函数与一元二次方程</w:t>
            </w:r>
          </w:p>
        </w:tc>
        <w:tc>
          <w:tcPr>
            <w:tcW w:w="1439" w:type="dxa"/>
          </w:tcPr>
          <w:p w14:paraId="6B3AB239">
            <w:pPr>
              <w:rPr>
                <w:rFonts w:ascii="仿宋" w:hAnsi="仿宋" w:eastAsia="仿宋" w:cs="宋体"/>
                <w:b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sz w:val="28"/>
                <w:szCs w:val="28"/>
              </w:rPr>
              <w:t>5</w:t>
            </w:r>
          </w:p>
        </w:tc>
      </w:tr>
      <w:tr w14:paraId="45B1B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198" w:type="dxa"/>
            <w:vAlign w:val="center"/>
          </w:tcPr>
          <w:p w14:paraId="51D2D88A">
            <w:pPr>
              <w:widowControl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4</w:t>
            </w:r>
          </w:p>
        </w:tc>
        <w:tc>
          <w:tcPr>
            <w:tcW w:w="4646" w:type="dxa"/>
          </w:tcPr>
          <w:p w14:paraId="399B5F2F">
            <w:pPr>
              <w:rPr>
                <w:rFonts w:hint="default" w:ascii="仿宋" w:hAnsi="仿宋" w:eastAsia="仿宋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不等式</w:t>
            </w:r>
          </w:p>
        </w:tc>
        <w:tc>
          <w:tcPr>
            <w:tcW w:w="1439" w:type="dxa"/>
          </w:tcPr>
          <w:p w14:paraId="6AF1CE1A">
            <w:pPr>
              <w:rPr>
                <w:rFonts w:ascii="仿宋" w:hAnsi="仿宋" w:eastAsia="仿宋" w:cs="宋体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</w:rPr>
              <w:t>5</w:t>
            </w:r>
          </w:p>
        </w:tc>
      </w:tr>
      <w:tr w14:paraId="4A99F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198" w:type="dxa"/>
            <w:vAlign w:val="center"/>
          </w:tcPr>
          <w:p w14:paraId="17E8B71C">
            <w:pPr>
              <w:widowControl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5</w:t>
            </w:r>
          </w:p>
        </w:tc>
        <w:tc>
          <w:tcPr>
            <w:tcW w:w="4646" w:type="dxa"/>
          </w:tcPr>
          <w:p w14:paraId="5DAC077C">
            <w:pPr>
              <w:rPr>
                <w:rFonts w:hint="default" w:ascii="仿宋" w:hAnsi="仿宋" w:eastAsia="仿宋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整理与复习</w:t>
            </w:r>
          </w:p>
        </w:tc>
        <w:tc>
          <w:tcPr>
            <w:tcW w:w="1439" w:type="dxa"/>
          </w:tcPr>
          <w:p w14:paraId="56958712">
            <w:pP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5</w:t>
            </w:r>
          </w:p>
        </w:tc>
      </w:tr>
      <w:tr w14:paraId="3E545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198" w:type="dxa"/>
            <w:vAlign w:val="center"/>
          </w:tcPr>
          <w:p w14:paraId="1B63044B">
            <w:pPr>
              <w:widowControl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6</w:t>
            </w:r>
          </w:p>
        </w:tc>
        <w:tc>
          <w:tcPr>
            <w:tcW w:w="4646" w:type="dxa"/>
          </w:tcPr>
          <w:p w14:paraId="5E7FAC2B">
            <w:pPr>
              <w:rPr>
                <w:rFonts w:hint="default" w:ascii="仿宋" w:hAnsi="仿宋" w:eastAsia="仿宋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函数的概念及其性质</w:t>
            </w:r>
          </w:p>
        </w:tc>
        <w:tc>
          <w:tcPr>
            <w:tcW w:w="1439" w:type="dxa"/>
          </w:tcPr>
          <w:p w14:paraId="4194C084">
            <w:pPr>
              <w:rPr>
                <w:rFonts w:ascii="仿宋" w:hAnsi="仿宋" w:eastAsia="仿宋" w:cs="宋体"/>
                <w:b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sz w:val="28"/>
                <w:szCs w:val="28"/>
              </w:rPr>
              <w:t>5</w:t>
            </w:r>
          </w:p>
        </w:tc>
      </w:tr>
      <w:tr w14:paraId="7D265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198" w:type="dxa"/>
            <w:vAlign w:val="center"/>
          </w:tcPr>
          <w:p w14:paraId="65405B74">
            <w:pPr>
              <w:widowControl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7</w:t>
            </w:r>
          </w:p>
        </w:tc>
        <w:tc>
          <w:tcPr>
            <w:tcW w:w="4646" w:type="dxa"/>
          </w:tcPr>
          <w:p w14:paraId="50704EA2">
            <w:pPr>
              <w:rPr>
                <w:rFonts w:hint="default" w:ascii="仿宋" w:hAnsi="仿宋" w:eastAsia="仿宋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函数的基本性质</w:t>
            </w:r>
          </w:p>
        </w:tc>
        <w:tc>
          <w:tcPr>
            <w:tcW w:w="1439" w:type="dxa"/>
          </w:tcPr>
          <w:p w14:paraId="02BA6AF7">
            <w:pPr>
              <w:rPr>
                <w:rFonts w:ascii="仿宋" w:hAnsi="仿宋" w:eastAsia="仿宋" w:cs="宋体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</w:rPr>
              <w:t>5</w:t>
            </w:r>
          </w:p>
        </w:tc>
      </w:tr>
      <w:tr w14:paraId="12E10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198" w:type="dxa"/>
            <w:vAlign w:val="center"/>
          </w:tcPr>
          <w:p w14:paraId="1BF41728">
            <w:pPr>
              <w:widowControl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8</w:t>
            </w:r>
          </w:p>
        </w:tc>
        <w:tc>
          <w:tcPr>
            <w:tcW w:w="4646" w:type="dxa"/>
          </w:tcPr>
          <w:p w14:paraId="24470254">
            <w:pPr>
              <w:rPr>
                <w:rFonts w:hint="default" w:ascii="仿宋" w:hAnsi="仿宋" w:eastAsia="仿宋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幂函数</w:t>
            </w:r>
          </w:p>
        </w:tc>
        <w:tc>
          <w:tcPr>
            <w:tcW w:w="1439" w:type="dxa"/>
          </w:tcPr>
          <w:p w14:paraId="2370ED95">
            <w:pPr>
              <w:rPr>
                <w:rFonts w:ascii="仿宋" w:hAnsi="仿宋" w:eastAsia="仿宋" w:cs="宋体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</w:rPr>
              <w:t>5</w:t>
            </w:r>
          </w:p>
        </w:tc>
      </w:tr>
      <w:tr w14:paraId="334EE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198" w:type="dxa"/>
            <w:vAlign w:val="center"/>
          </w:tcPr>
          <w:p w14:paraId="2163AD5B">
            <w:pPr>
              <w:widowControl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9</w:t>
            </w:r>
          </w:p>
        </w:tc>
        <w:tc>
          <w:tcPr>
            <w:tcW w:w="4646" w:type="dxa"/>
          </w:tcPr>
          <w:p w14:paraId="240B11EE">
            <w:pPr>
              <w:rPr>
                <w:rFonts w:hint="default" w:ascii="仿宋" w:hAnsi="仿宋" w:eastAsia="仿宋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函数的运用（一）</w:t>
            </w:r>
          </w:p>
        </w:tc>
        <w:tc>
          <w:tcPr>
            <w:tcW w:w="1439" w:type="dxa"/>
          </w:tcPr>
          <w:p w14:paraId="36422204">
            <w:pPr>
              <w:rPr>
                <w:rFonts w:hint="default" w:ascii="仿宋" w:hAnsi="仿宋" w:eastAsia="仿宋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5</w:t>
            </w:r>
          </w:p>
        </w:tc>
      </w:tr>
      <w:tr w14:paraId="076B8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198" w:type="dxa"/>
            <w:vAlign w:val="center"/>
          </w:tcPr>
          <w:p w14:paraId="4B160FB8">
            <w:pPr>
              <w:widowControl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10</w:t>
            </w:r>
          </w:p>
        </w:tc>
        <w:tc>
          <w:tcPr>
            <w:tcW w:w="4646" w:type="dxa"/>
          </w:tcPr>
          <w:p w14:paraId="45F3EB32">
            <w:pPr>
              <w:rPr>
                <w:rFonts w:hint="default" w:ascii="仿宋" w:hAnsi="仿宋" w:eastAsia="仿宋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指数</w:t>
            </w:r>
          </w:p>
        </w:tc>
        <w:tc>
          <w:tcPr>
            <w:tcW w:w="1439" w:type="dxa"/>
          </w:tcPr>
          <w:p w14:paraId="07376F42">
            <w:pPr>
              <w:rPr>
                <w:rFonts w:ascii="仿宋" w:hAnsi="仿宋" w:eastAsia="仿宋" w:cs="宋体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</w:rPr>
              <w:t>5</w:t>
            </w:r>
          </w:p>
        </w:tc>
      </w:tr>
      <w:tr w14:paraId="60AB9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198" w:type="dxa"/>
            <w:vAlign w:val="center"/>
          </w:tcPr>
          <w:p w14:paraId="124B17F1">
            <w:pPr>
              <w:widowControl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11</w:t>
            </w:r>
          </w:p>
        </w:tc>
        <w:tc>
          <w:tcPr>
            <w:tcW w:w="4646" w:type="dxa"/>
          </w:tcPr>
          <w:p w14:paraId="09FFBB7E">
            <w:pPr>
              <w:rPr>
                <w:rFonts w:hint="default" w:ascii="仿宋" w:hAnsi="仿宋" w:eastAsia="仿宋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指数的函数</w:t>
            </w:r>
          </w:p>
        </w:tc>
        <w:tc>
          <w:tcPr>
            <w:tcW w:w="1439" w:type="dxa"/>
          </w:tcPr>
          <w:p w14:paraId="6054C01F">
            <w:pPr>
              <w:rPr>
                <w:rFonts w:ascii="仿宋" w:hAnsi="仿宋" w:eastAsia="仿宋" w:cs="宋体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</w:rPr>
              <w:t>5</w:t>
            </w:r>
          </w:p>
        </w:tc>
      </w:tr>
      <w:tr w14:paraId="7C20D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198" w:type="dxa"/>
            <w:vAlign w:val="center"/>
          </w:tcPr>
          <w:p w14:paraId="35AC125C">
            <w:pPr>
              <w:widowControl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12</w:t>
            </w:r>
          </w:p>
        </w:tc>
        <w:tc>
          <w:tcPr>
            <w:tcW w:w="4646" w:type="dxa"/>
          </w:tcPr>
          <w:p w14:paraId="568D8BFB">
            <w:pPr>
              <w:rPr>
                <w:rFonts w:hint="default" w:ascii="仿宋" w:hAnsi="仿宋" w:eastAsia="仿宋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对数</w:t>
            </w:r>
          </w:p>
        </w:tc>
        <w:tc>
          <w:tcPr>
            <w:tcW w:w="1439" w:type="dxa"/>
          </w:tcPr>
          <w:p w14:paraId="2AC68D1B">
            <w:pPr>
              <w:rPr>
                <w:rFonts w:ascii="仿宋" w:hAnsi="仿宋" w:eastAsia="仿宋" w:cs="宋体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</w:rPr>
              <w:t>5</w:t>
            </w:r>
          </w:p>
        </w:tc>
      </w:tr>
      <w:tr w14:paraId="6F8FC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198" w:type="dxa"/>
            <w:vAlign w:val="center"/>
          </w:tcPr>
          <w:p w14:paraId="4163DBD4">
            <w:pPr>
              <w:widowControl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13</w:t>
            </w:r>
          </w:p>
        </w:tc>
        <w:tc>
          <w:tcPr>
            <w:tcW w:w="4646" w:type="dxa"/>
          </w:tcPr>
          <w:p w14:paraId="0C2A1859">
            <w:pPr>
              <w:rPr>
                <w:rFonts w:hint="default" w:ascii="仿宋" w:hAnsi="仿宋" w:eastAsia="仿宋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对数函数</w:t>
            </w:r>
          </w:p>
        </w:tc>
        <w:tc>
          <w:tcPr>
            <w:tcW w:w="1439" w:type="dxa"/>
          </w:tcPr>
          <w:p w14:paraId="011A2371">
            <w:pP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5</w:t>
            </w:r>
          </w:p>
        </w:tc>
      </w:tr>
      <w:tr w14:paraId="5B33C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198" w:type="dxa"/>
            <w:vAlign w:val="center"/>
          </w:tcPr>
          <w:p w14:paraId="66A44917">
            <w:pPr>
              <w:widowControl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14</w:t>
            </w:r>
          </w:p>
        </w:tc>
        <w:tc>
          <w:tcPr>
            <w:tcW w:w="4646" w:type="dxa"/>
          </w:tcPr>
          <w:p w14:paraId="5359045F">
            <w:pPr>
              <w:rPr>
                <w:rFonts w:hint="default" w:ascii="仿宋" w:hAnsi="仿宋" w:eastAsia="仿宋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函数的应用（二）</w:t>
            </w:r>
          </w:p>
        </w:tc>
        <w:tc>
          <w:tcPr>
            <w:tcW w:w="1439" w:type="dxa"/>
          </w:tcPr>
          <w:p w14:paraId="53BE7285">
            <w:pPr>
              <w:rPr>
                <w:rFonts w:ascii="仿宋" w:hAnsi="仿宋" w:eastAsia="仿宋" w:cs="宋体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</w:rPr>
              <w:t>5</w:t>
            </w:r>
          </w:p>
        </w:tc>
      </w:tr>
      <w:tr w14:paraId="51F8D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198" w:type="dxa"/>
            <w:vAlign w:val="center"/>
          </w:tcPr>
          <w:p w14:paraId="4686407C">
            <w:pPr>
              <w:widowControl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15</w:t>
            </w:r>
          </w:p>
        </w:tc>
        <w:tc>
          <w:tcPr>
            <w:tcW w:w="4646" w:type="dxa"/>
          </w:tcPr>
          <w:p w14:paraId="6D28427C">
            <w:pPr>
              <w:rPr>
                <w:rFonts w:hint="default" w:ascii="仿宋" w:hAnsi="仿宋" w:eastAsia="仿宋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任意角和弧度制</w:t>
            </w:r>
          </w:p>
        </w:tc>
        <w:tc>
          <w:tcPr>
            <w:tcW w:w="1439" w:type="dxa"/>
          </w:tcPr>
          <w:p w14:paraId="063247ED">
            <w:pPr>
              <w:rPr>
                <w:rFonts w:ascii="仿宋" w:hAnsi="仿宋" w:eastAsia="仿宋" w:cs="宋体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</w:rPr>
              <w:t>5</w:t>
            </w:r>
          </w:p>
        </w:tc>
      </w:tr>
      <w:tr w14:paraId="58D4F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198" w:type="dxa"/>
            <w:vAlign w:val="center"/>
          </w:tcPr>
          <w:p w14:paraId="4E371D08">
            <w:pPr>
              <w:widowControl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16</w:t>
            </w:r>
          </w:p>
        </w:tc>
        <w:tc>
          <w:tcPr>
            <w:tcW w:w="4646" w:type="dxa"/>
          </w:tcPr>
          <w:p w14:paraId="5B6297AF">
            <w:pPr>
              <w:rPr>
                <w:rFonts w:hint="default" w:ascii="仿宋" w:hAnsi="仿宋" w:eastAsia="仿宋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三角函数的概念</w:t>
            </w:r>
          </w:p>
        </w:tc>
        <w:tc>
          <w:tcPr>
            <w:tcW w:w="1439" w:type="dxa"/>
          </w:tcPr>
          <w:p w14:paraId="11908261">
            <w:pPr>
              <w:rPr>
                <w:rFonts w:ascii="仿宋" w:hAnsi="仿宋" w:eastAsia="仿宋" w:cs="宋体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</w:rPr>
              <w:t>5</w:t>
            </w:r>
          </w:p>
        </w:tc>
      </w:tr>
      <w:tr w14:paraId="7D1D8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198" w:type="dxa"/>
            <w:vAlign w:val="center"/>
          </w:tcPr>
          <w:p w14:paraId="05311671">
            <w:pPr>
              <w:widowControl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17</w:t>
            </w:r>
          </w:p>
        </w:tc>
        <w:tc>
          <w:tcPr>
            <w:tcW w:w="4646" w:type="dxa"/>
          </w:tcPr>
          <w:p w14:paraId="3A6BC4A2">
            <w:pPr>
              <w:rPr>
                <w:rFonts w:hint="eastAsia" w:ascii="仿宋" w:hAnsi="仿宋" w:eastAsia="仿宋" w:cs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整理与复习</w:t>
            </w:r>
          </w:p>
        </w:tc>
        <w:tc>
          <w:tcPr>
            <w:tcW w:w="1439" w:type="dxa"/>
          </w:tcPr>
          <w:p w14:paraId="2F91C1BC">
            <w:pP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5</w:t>
            </w:r>
          </w:p>
        </w:tc>
      </w:tr>
      <w:bookmarkEnd w:id="0"/>
      <w:tr w14:paraId="5BF9D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198" w:type="dxa"/>
            <w:vAlign w:val="center"/>
          </w:tcPr>
          <w:p w14:paraId="3666CE53">
            <w:pPr>
              <w:widowControl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18</w:t>
            </w:r>
          </w:p>
        </w:tc>
        <w:tc>
          <w:tcPr>
            <w:tcW w:w="4646" w:type="dxa"/>
          </w:tcPr>
          <w:p w14:paraId="59A21475">
            <w:pPr>
              <w:rPr>
                <w:rFonts w:hint="default" w:ascii="仿宋" w:hAnsi="仿宋" w:eastAsia="仿宋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整理与复习</w:t>
            </w:r>
          </w:p>
        </w:tc>
        <w:tc>
          <w:tcPr>
            <w:tcW w:w="1439" w:type="dxa"/>
          </w:tcPr>
          <w:p w14:paraId="6326488B">
            <w:pPr>
              <w:rPr>
                <w:rFonts w:ascii="仿宋" w:hAnsi="仿宋" w:eastAsia="仿宋" w:cs="宋体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</w:rPr>
              <w:t>5</w:t>
            </w:r>
          </w:p>
        </w:tc>
      </w:tr>
      <w:tr w14:paraId="3D971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198" w:type="dxa"/>
            <w:vAlign w:val="center"/>
          </w:tcPr>
          <w:p w14:paraId="7FEF0E85">
            <w:pPr>
              <w:widowControl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19</w:t>
            </w:r>
          </w:p>
        </w:tc>
        <w:tc>
          <w:tcPr>
            <w:tcW w:w="4646" w:type="dxa"/>
          </w:tcPr>
          <w:p w14:paraId="53149F57">
            <w:pPr>
              <w:rPr>
                <w:rFonts w:hint="default" w:ascii="仿宋" w:hAnsi="仿宋" w:eastAsia="仿宋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期末复习</w:t>
            </w:r>
          </w:p>
        </w:tc>
        <w:tc>
          <w:tcPr>
            <w:tcW w:w="1439" w:type="dxa"/>
          </w:tcPr>
          <w:p w14:paraId="5C01D93A">
            <w:pPr>
              <w:rPr>
                <w:rFonts w:ascii="仿宋" w:hAnsi="仿宋" w:eastAsia="仿宋" w:cs="宋体"/>
                <w:b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sz w:val="28"/>
                <w:szCs w:val="28"/>
              </w:rPr>
              <w:t>5</w:t>
            </w:r>
          </w:p>
        </w:tc>
      </w:tr>
      <w:tr w14:paraId="318F2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198" w:type="dxa"/>
            <w:vAlign w:val="center"/>
          </w:tcPr>
          <w:p w14:paraId="2090EE63">
            <w:pPr>
              <w:widowControl/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4646" w:type="dxa"/>
          </w:tcPr>
          <w:p w14:paraId="14F0FFE8">
            <w:pPr>
              <w:rPr>
                <w:rFonts w:hint="default" w:ascii="仿宋" w:hAnsi="仿宋" w:eastAsia="仿宋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期末复习</w:t>
            </w:r>
          </w:p>
        </w:tc>
        <w:tc>
          <w:tcPr>
            <w:tcW w:w="1439" w:type="dxa"/>
          </w:tcPr>
          <w:p w14:paraId="1708516B">
            <w:pP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5</w:t>
            </w:r>
          </w:p>
        </w:tc>
      </w:tr>
      <w:tr w14:paraId="4CFC0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198" w:type="dxa"/>
            <w:vAlign w:val="center"/>
          </w:tcPr>
          <w:p w14:paraId="180D8136">
            <w:pPr>
              <w:widowControl/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4646" w:type="dxa"/>
          </w:tcPr>
          <w:p w14:paraId="1486AD6E">
            <w:pPr>
              <w:rPr>
                <w:rFonts w:hint="default" w:ascii="仿宋" w:hAnsi="仿宋" w:eastAsia="仿宋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期末复习</w:t>
            </w:r>
          </w:p>
        </w:tc>
        <w:tc>
          <w:tcPr>
            <w:tcW w:w="1439" w:type="dxa"/>
          </w:tcPr>
          <w:p w14:paraId="76D45EBA">
            <w:pP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8"/>
                <w:szCs w:val="28"/>
                <w:lang w:val="en-US" w:eastAsia="zh-CN"/>
              </w:rPr>
              <w:t>5</w:t>
            </w:r>
          </w:p>
        </w:tc>
      </w:tr>
    </w:tbl>
    <w:p w14:paraId="6D3FF9C4">
      <w:pPr>
        <w:spacing w:line="52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450F0EE7">
      <w:pPr>
        <w:rPr>
          <w:rFonts w:ascii="仿宋" w:hAnsi="仿宋" w:eastAsia="仿宋"/>
          <w:b/>
          <w:sz w:val="32"/>
          <w:szCs w:val="32"/>
        </w:rPr>
      </w:pPr>
    </w:p>
    <w:p w14:paraId="1D3CF348">
      <w:pPr>
        <w:jc w:val="center"/>
        <w:rPr>
          <w:rFonts w:ascii="仿宋" w:hAnsi="仿宋" w:eastAsia="仿宋"/>
          <w:b/>
          <w:sz w:val="32"/>
          <w:szCs w:val="32"/>
        </w:rPr>
      </w:pPr>
    </w:p>
    <w:p w14:paraId="70ADEB30">
      <w:pPr>
        <w:rPr>
          <w:rFonts w:ascii="仿宋" w:hAnsi="仿宋" w:eastAsia="仿宋"/>
          <w:b/>
          <w:sz w:val="32"/>
          <w:szCs w:val="32"/>
        </w:rPr>
      </w:pPr>
    </w:p>
    <w:p w14:paraId="06D9E06C">
      <w:pPr>
        <w:jc w:val="center"/>
      </w:pPr>
    </w:p>
    <w:p w14:paraId="0A3DAE6A">
      <w:pPr>
        <w:jc w:val="center"/>
      </w:pPr>
    </w:p>
    <w:p w14:paraId="384410DC">
      <w:pPr>
        <w:jc w:val="center"/>
      </w:pPr>
    </w:p>
    <w:p w14:paraId="69CFBC85">
      <w:pPr>
        <w:rPr>
          <w:rFonts w:ascii="仿宋" w:hAnsi="仿宋" w:eastAsia="仿宋"/>
          <w:b/>
          <w:sz w:val="32"/>
          <w:szCs w:val="32"/>
        </w:rPr>
      </w:pPr>
    </w:p>
    <w:p w14:paraId="0510ADB7">
      <w:pPr>
        <w:rPr>
          <w:rFonts w:ascii="仿宋" w:hAnsi="仿宋" w:eastAsia="仿宋"/>
          <w:b/>
          <w:sz w:val="32"/>
          <w:szCs w:val="32"/>
        </w:rPr>
      </w:pPr>
    </w:p>
    <w:p w14:paraId="02ADED59">
      <w:pPr>
        <w:rPr>
          <w:rFonts w:ascii="仿宋" w:hAnsi="仿宋" w:eastAsia="仿宋"/>
          <w:b/>
          <w:sz w:val="32"/>
          <w:szCs w:val="32"/>
        </w:rPr>
      </w:pPr>
    </w:p>
    <w:p w14:paraId="59DF9B3E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50071062"/>
    </w:sdtPr>
    <w:sdtContent>
      <w:sdt>
        <w:sdtPr>
          <w:id w:val="1728636285"/>
        </w:sdtPr>
        <w:sdtContent>
          <w:p w14:paraId="169F6F94">
            <w:pPr>
              <w:pStyle w:val="4"/>
              <w:jc w:val="center"/>
            </w:pPr>
            <w:r>
              <w:rPr>
                <w:rFonts w:hint="eastAsia" w:ascii="仿宋" w:hAnsi="仿宋" w:eastAsia="仿宋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-18415</wp:posOffset>
                      </wp:positionH>
                      <wp:positionV relativeFrom="paragraph">
                        <wp:posOffset>3175</wp:posOffset>
                      </wp:positionV>
                      <wp:extent cx="5276850" cy="0"/>
                      <wp:effectExtent l="0" t="0" r="0" b="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768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1.45pt;margin-top:0.25pt;height:0pt;width:415.5pt;mso-position-horizontal-relative:margin;z-index:251659264;mso-width-relative:page;mso-height-relative:page;" filled="f" stroked="t" coordsize="21600,21600" o:gfxdata="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d/Qpt0gAAAAQB&#10;AAAPAAAAAAAAAAEAIAAAACIAAABkcnMvZG93bnJldi54bWxQSwECFAAUAAAACACHTuJAcJnbbugB&#10;AAC7AwAADgAAAAAAAAABACAAAAAhAQAAZHJzL2Uyb0RvYy54bWxQSwUGAAAAAAYABgBZAQAAewUA&#10;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聊城市特殊教育学校</w:t>
            </w:r>
          </w:p>
          <w:p w14:paraId="1E6BA45C">
            <w:pPr>
              <w:pStyle w:val="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B519152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3MWU3YTQ3ZDAwNzc4M2Q5YTNkODhlNTRhYTUzMTMifQ=="/>
    <w:docVar w:name="KSO_WPS_MARK_KEY" w:val="0c4bee89-9ebf-418b-a433-270764ee1c2a"/>
  </w:docVars>
  <w:rsids>
    <w:rsidRoot w:val="56B02E39"/>
    <w:rsid w:val="00292B31"/>
    <w:rsid w:val="004B6B64"/>
    <w:rsid w:val="00724C10"/>
    <w:rsid w:val="00793BEF"/>
    <w:rsid w:val="00D93045"/>
    <w:rsid w:val="028461BC"/>
    <w:rsid w:val="03505568"/>
    <w:rsid w:val="042551B3"/>
    <w:rsid w:val="07797F74"/>
    <w:rsid w:val="08591D3F"/>
    <w:rsid w:val="09045F63"/>
    <w:rsid w:val="092475EB"/>
    <w:rsid w:val="0B974E6D"/>
    <w:rsid w:val="103C03B2"/>
    <w:rsid w:val="12211DE1"/>
    <w:rsid w:val="123824F7"/>
    <w:rsid w:val="153100E0"/>
    <w:rsid w:val="18385562"/>
    <w:rsid w:val="19CC6629"/>
    <w:rsid w:val="1ABA46D4"/>
    <w:rsid w:val="1B2134D9"/>
    <w:rsid w:val="1E66520C"/>
    <w:rsid w:val="1EE461C3"/>
    <w:rsid w:val="1FEB3581"/>
    <w:rsid w:val="23885944"/>
    <w:rsid w:val="240A214E"/>
    <w:rsid w:val="26471275"/>
    <w:rsid w:val="272328AB"/>
    <w:rsid w:val="27620F3F"/>
    <w:rsid w:val="28533CFE"/>
    <w:rsid w:val="2A520696"/>
    <w:rsid w:val="2C2B31DC"/>
    <w:rsid w:val="303619E3"/>
    <w:rsid w:val="31207DB1"/>
    <w:rsid w:val="34C17ADB"/>
    <w:rsid w:val="368A1CD6"/>
    <w:rsid w:val="39FB44EB"/>
    <w:rsid w:val="3B254A69"/>
    <w:rsid w:val="3C3E4D0D"/>
    <w:rsid w:val="3D010BF9"/>
    <w:rsid w:val="41303184"/>
    <w:rsid w:val="44F83CC3"/>
    <w:rsid w:val="45DD211C"/>
    <w:rsid w:val="4681703A"/>
    <w:rsid w:val="46AD6F99"/>
    <w:rsid w:val="516E1798"/>
    <w:rsid w:val="52C51658"/>
    <w:rsid w:val="53B24037"/>
    <w:rsid w:val="547215A0"/>
    <w:rsid w:val="55857AA5"/>
    <w:rsid w:val="56A1431C"/>
    <w:rsid w:val="56B02E39"/>
    <w:rsid w:val="572745FE"/>
    <w:rsid w:val="58577AB0"/>
    <w:rsid w:val="58FE3FE4"/>
    <w:rsid w:val="5C2E3B9D"/>
    <w:rsid w:val="623255D0"/>
    <w:rsid w:val="627B3D15"/>
    <w:rsid w:val="64C0145C"/>
    <w:rsid w:val="66D31BC1"/>
    <w:rsid w:val="6D535020"/>
    <w:rsid w:val="6E457B0A"/>
    <w:rsid w:val="6F47455C"/>
    <w:rsid w:val="717918DF"/>
    <w:rsid w:val="73464071"/>
    <w:rsid w:val="739C1D3D"/>
    <w:rsid w:val="7463285B"/>
    <w:rsid w:val="795124FA"/>
    <w:rsid w:val="7A9044A9"/>
    <w:rsid w:val="7E98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KY-20180402DHI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8</Pages>
  <Words>3360</Words>
  <Characters>3383</Characters>
  <Lines>14</Lines>
  <Paragraphs>4</Paragraphs>
  <TotalTime>144</TotalTime>
  <ScaleCrop>false</ScaleCrop>
  <LinksUpToDate>false</LinksUpToDate>
  <CharactersWithSpaces>3433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2019-02-22T09:20:00Z</dcterms:created>
  <dc:creator>1405310111</dc:creator>
  <cp:lastModifiedBy>dell</cp:lastModifiedBy>
  <dcterms:modified xsi:type="dcterms:W3CDTF">2025-02-17T07:31:46Z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6794400599434F7194E6749BB43EB3FC_13</vt:lpwstr>
  </property>
  <property fmtid="{D5CDD505-2E9C-101B-9397-08002B2CF9AE}" pid="4" name="KSOTemplateDocerSaveRecord">
    <vt:lpwstr>eyJoZGlkIjoiMmI0NjYwOGQ0MTg5NjIwMjY3YzlhZmY0ZmNjYzQ0NDIifQ==</vt:lpwstr>
  </property>
</Properties>
</file>